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rPr>
      </w:pPr>
      <w:bookmarkStart w:colFirst="0" w:colLast="0" w:name="_46r0co2" w:id="0"/>
      <w:bookmarkEnd w:id="0"/>
      <w:r w:rsidDel="00000000" w:rsidR="00000000" w:rsidRPr="00000000">
        <w:rPr>
          <w:rFonts w:ascii="Calibri" w:cs="Calibri" w:eastAsia="Calibri" w:hAnsi="Calibri"/>
          <w:rtl w:val="0"/>
        </w:rPr>
        <w:t xml:space="preserve">HEALTH AND SAFETY STATEMENT</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4">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Yukon Workers' Safety and Compensation Act</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8">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Yukon Workers' Safety and Compensation Act</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3">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7">
      <w:pPr>
        <w:spacing w:line="240" w:lineRule="auto"/>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